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723" w:rsidRDefault="00D34723" w:rsidP="00083121">
      <w:pPr>
        <w:spacing w:line="480" w:lineRule="auto"/>
        <w:jc w:val="both"/>
        <w:rPr>
          <w:rFonts w:ascii="Times New Roman" w:hAnsi="Times New Roman" w:cs="Times New Roman"/>
          <w:sz w:val="24"/>
          <w:szCs w:val="24"/>
          <w:lang w:val="en-IN"/>
        </w:rPr>
      </w:pPr>
    </w:p>
    <w:p w:rsidR="00D34723" w:rsidRDefault="00D34723" w:rsidP="00083121">
      <w:pPr>
        <w:spacing w:line="480" w:lineRule="auto"/>
        <w:jc w:val="both"/>
        <w:rPr>
          <w:rFonts w:ascii="Times New Roman" w:hAnsi="Times New Roman" w:cs="Times New Roman"/>
          <w:sz w:val="24"/>
          <w:szCs w:val="24"/>
          <w:lang w:val="en-IN"/>
        </w:rPr>
      </w:pPr>
    </w:p>
    <w:p w:rsidR="00D34723" w:rsidRDefault="00D34723" w:rsidP="00083121">
      <w:pPr>
        <w:spacing w:line="480" w:lineRule="auto"/>
        <w:jc w:val="both"/>
        <w:rPr>
          <w:rFonts w:ascii="Times New Roman" w:hAnsi="Times New Roman" w:cs="Times New Roman"/>
          <w:sz w:val="24"/>
          <w:szCs w:val="24"/>
          <w:lang w:val="en-IN"/>
        </w:rPr>
      </w:pPr>
    </w:p>
    <w:p w:rsidR="00D34723" w:rsidRDefault="00D34723" w:rsidP="00083121">
      <w:pPr>
        <w:spacing w:line="480" w:lineRule="auto"/>
        <w:jc w:val="both"/>
        <w:rPr>
          <w:rFonts w:ascii="Times New Roman" w:hAnsi="Times New Roman" w:cs="Times New Roman"/>
          <w:sz w:val="24"/>
          <w:szCs w:val="24"/>
          <w:lang w:val="en-IN"/>
        </w:rPr>
      </w:pPr>
    </w:p>
    <w:p w:rsidR="00D34723" w:rsidRDefault="00D34723" w:rsidP="00083121">
      <w:pPr>
        <w:spacing w:line="480" w:lineRule="auto"/>
        <w:jc w:val="center"/>
        <w:rPr>
          <w:rFonts w:ascii="Times New Roman" w:hAnsi="Times New Roman" w:cs="Times New Roman"/>
          <w:sz w:val="24"/>
          <w:szCs w:val="24"/>
          <w:lang w:val="en-IN"/>
        </w:rPr>
      </w:pPr>
    </w:p>
    <w:p w:rsidR="00444B66" w:rsidRPr="00D34723" w:rsidRDefault="00D34723" w:rsidP="00083121">
      <w:pPr>
        <w:spacing w:line="480" w:lineRule="auto"/>
        <w:jc w:val="center"/>
        <w:rPr>
          <w:rFonts w:ascii="Times New Roman" w:hAnsi="Times New Roman" w:cs="Times New Roman"/>
          <w:sz w:val="24"/>
          <w:szCs w:val="24"/>
          <w:lang w:val="en-IN"/>
        </w:rPr>
      </w:pPr>
      <w:r w:rsidRPr="00D34723">
        <w:rPr>
          <w:rFonts w:ascii="Times New Roman" w:hAnsi="Times New Roman" w:cs="Times New Roman"/>
          <w:sz w:val="24"/>
          <w:szCs w:val="24"/>
          <w:lang w:val="en-IN"/>
        </w:rPr>
        <w:t>Earnings Management</w:t>
      </w:r>
    </w:p>
    <w:p w:rsidR="00D34723" w:rsidRPr="00D34723" w:rsidRDefault="00D34723" w:rsidP="00083121">
      <w:pPr>
        <w:spacing w:line="480" w:lineRule="auto"/>
        <w:jc w:val="center"/>
        <w:rPr>
          <w:rFonts w:ascii="Times New Roman" w:hAnsi="Times New Roman" w:cs="Times New Roman"/>
          <w:sz w:val="24"/>
          <w:szCs w:val="24"/>
          <w:lang w:val="en-IN"/>
        </w:rPr>
      </w:pPr>
      <w:r w:rsidRPr="00D34723">
        <w:rPr>
          <w:rFonts w:ascii="Times New Roman" w:hAnsi="Times New Roman" w:cs="Times New Roman"/>
          <w:sz w:val="24"/>
          <w:szCs w:val="24"/>
          <w:lang w:val="en-IN"/>
        </w:rPr>
        <w:t>Student Name</w:t>
      </w:r>
    </w:p>
    <w:p w:rsidR="00D34723" w:rsidRPr="00D34723" w:rsidRDefault="00D34723" w:rsidP="00083121">
      <w:pPr>
        <w:spacing w:line="480" w:lineRule="auto"/>
        <w:jc w:val="center"/>
        <w:rPr>
          <w:rFonts w:ascii="Times New Roman" w:hAnsi="Times New Roman" w:cs="Times New Roman"/>
          <w:sz w:val="24"/>
          <w:szCs w:val="24"/>
          <w:lang w:val="en-IN"/>
        </w:rPr>
      </w:pPr>
      <w:r w:rsidRPr="00D34723">
        <w:rPr>
          <w:rFonts w:ascii="Times New Roman" w:hAnsi="Times New Roman" w:cs="Times New Roman"/>
          <w:sz w:val="24"/>
          <w:szCs w:val="24"/>
          <w:lang w:val="en-IN"/>
        </w:rPr>
        <w:t>Instructor Name</w:t>
      </w:r>
    </w:p>
    <w:p w:rsidR="00D34723" w:rsidRPr="00D34723" w:rsidRDefault="00D34723" w:rsidP="00083121">
      <w:pPr>
        <w:spacing w:line="480" w:lineRule="auto"/>
        <w:jc w:val="center"/>
        <w:rPr>
          <w:rFonts w:ascii="Times New Roman" w:hAnsi="Times New Roman" w:cs="Times New Roman"/>
          <w:sz w:val="24"/>
          <w:szCs w:val="24"/>
          <w:lang w:val="en-IN"/>
        </w:rPr>
      </w:pPr>
      <w:r w:rsidRPr="00D34723">
        <w:rPr>
          <w:rFonts w:ascii="Times New Roman" w:hAnsi="Times New Roman" w:cs="Times New Roman"/>
          <w:sz w:val="24"/>
          <w:szCs w:val="24"/>
          <w:lang w:val="en-IN"/>
        </w:rPr>
        <w:t>University Name</w:t>
      </w:r>
    </w:p>
    <w:p w:rsidR="00D34723" w:rsidRDefault="00D34723" w:rsidP="00083121">
      <w:pPr>
        <w:spacing w:line="480" w:lineRule="auto"/>
        <w:jc w:val="center"/>
        <w:rPr>
          <w:rFonts w:ascii="Times New Roman" w:hAnsi="Times New Roman" w:cs="Times New Roman"/>
          <w:sz w:val="24"/>
          <w:szCs w:val="24"/>
          <w:lang w:val="en-IN"/>
        </w:rPr>
      </w:pPr>
      <w:r w:rsidRPr="00D34723">
        <w:rPr>
          <w:rFonts w:ascii="Times New Roman" w:hAnsi="Times New Roman" w:cs="Times New Roman"/>
          <w:sz w:val="24"/>
          <w:szCs w:val="24"/>
          <w:lang w:val="en-IN"/>
        </w:rPr>
        <w:t>17 July 2020</w:t>
      </w:r>
    </w:p>
    <w:p w:rsidR="00D34723" w:rsidRDefault="00D34723" w:rsidP="00083121">
      <w:pPr>
        <w:jc w:val="both"/>
        <w:rPr>
          <w:rFonts w:ascii="Times New Roman" w:hAnsi="Times New Roman" w:cs="Times New Roman"/>
          <w:sz w:val="24"/>
          <w:szCs w:val="24"/>
          <w:lang w:val="en-IN"/>
        </w:rPr>
      </w:pPr>
      <w:r>
        <w:rPr>
          <w:rFonts w:ascii="Times New Roman" w:hAnsi="Times New Roman" w:cs="Times New Roman"/>
          <w:sz w:val="24"/>
          <w:szCs w:val="24"/>
          <w:lang w:val="en-IN"/>
        </w:rPr>
        <w:br w:type="page"/>
      </w:r>
    </w:p>
    <w:p w:rsidR="00D34723" w:rsidRPr="004F64A2" w:rsidRDefault="00D34723"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lastRenderedPageBreak/>
        <w:t>Abstract</w:t>
      </w:r>
    </w:p>
    <w:p w:rsidR="008E2AAC" w:rsidRPr="004F64A2" w:rsidRDefault="008E2AAC" w:rsidP="004F64A2">
      <w:pPr>
        <w:spacing w:line="480" w:lineRule="auto"/>
        <w:jc w:val="both"/>
        <w:rPr>
          <w:rFonts w:ascii="Times New Roman" w:hAnsi="Times New Roman" w:cs="Times New Roman"/>
          <w:sz w:val="24"/>
          <w:szCs w:val="24"/>
        </w:rPr>
      </w:pPr>
      <w:r w:rsidRPr="004F64A2">
        <w:rPr>
          <w:rFonts w:ascii="Times New Roman" w:hAnsi="Times New Roman" w:cs="Times New Roman"/>
          <w:sz w:val="24"/>
          <w:szCs w:val="24"/>
        </w:rPr>
        <w:t>In today's financial markets, companies are under severe pressure to meet with investors earning expectations. Failure to do so can result in a loss of millions of dollars in reading. Consequently, a rising number of business leaders have succumbed to the temptation to supervise their income to achieve targeted profits. The number of companies not as part of an investigation by the Securities and Exchange Commission (SEC) for possible accounting fraud related to profit management has increased significantly in recent years. This article identifies and addresses four common areas of potential financial reporting abuse: restructuring costs, cellular reserve accounts, materiality, and manipulation of revenue recognition. Besides, this article discusses the vital role of accounting professionals as custodians of aid to maintain the viability of our financial markets.</w:t>
      </w:r>
    </w:p>
    <w:p w:rsidR="006F02A0" w:rsidRPr="004F64A2" w:rsidRDefault="00083121" w:rsidP="004F64A2">
      <w:pPr>
        <w:tabs>
          <w:tab w:val="left" w:pos="1845"/>
        </w:tabs>
        <w:spacing w:line="480" w:lineRule="auto"/>
        <w:jc w:val="both"/>
        <w:rPr>
          <w:rFonts w:ascii="Times New Roman" w:hAnsi="Times New Roman" w:cs="Times New Roman"/>
          <w:b/>
          <w:sz w:val="24"/>
          <w:szCs w:val="24"/>
        </w:rPr>
      </w:pPr>
      <w:r w:rsidRPr="004F64A2">
        <w:rPr>
          <w:rFonts w:ascii="Times New Roman" w:hAnsi="Times New Roman" w:cs="Times New Roman"/>
          <w:b/>
          <w:sz w:val="24"/>
          <w:szCs w:val="24"/>
        </w:rPr>
        <w:t xml:space="preserve">Introduction </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Net income and earnings per share information provided by companies are some of the most </w:t>
      </w:r>
      <w:r w:rsidR="000A5F2A" w:rsidRPr="004F64A2">
        <w:rPr>
          <w:rFonts w:ascii="Times New Roman" w:hAnsi="Times New Roman" w:cs="Times New Roman"/>
          <w:sz w:val="24"/>
          <w:szCs w:val="24"/>
          <w:lang w:val="en-IN"/>
        </w:rPr>
        <w:t>essential</w:t>
      </w:r>
      <w:r w:rsidRPr="004F64A2">
        <w:rPr>
          <w:rFonts w:ascii="Times New Roman" w:hAnsi="Times New Roman" w:cs="Times New Roman"/>
          <w:sz w:val="24"/>
          <w:szCs w:val="24"/>
          <w:lang w:val="en-IN"/>
        </w:rPr>
        <w:t xml:space="preserve"> data available to investors. This basic information is especially important to many readers of financial statements because it has a sense of purpose and a ring of truth. The importance of this statistical information can be evidenced by the fact that reported earnings per share that is a few cents lower than analysts’ expectations can cause a company's stock price to drop dramatically. For start-ups looking for new capitalization or for large established companies, the implications of a 5%, 10%, or even more drop in stock prices are formidable.</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As a result of this pressure, business leaders can sometimes feel inclined to manipulate the profits of their business. Profit management has been define which the management of a company violates Generally Accepted Accounting Principles (GAAP) in order to achieve t the </w:t>
      </w:r>
      <w:r w:rsidRPr="004F64A2">
        <w:rPr>
          <w:rFonts w:ascii="Times New Roman" w:hAnsi="Times New Roman" w:cs="Times New Roman"/>
          <w:sz w:val="24"/>
          <w:szCs w:val="24"/>
          <w:lang w:val="en-IN"/>
        </w:rPr>
        <w:lastRenderedPageBreak/>
        <w:t>financial operation of the company. Because investors tend to prefer companies that show steady growth, some business leaders feel compelled to manipulate profits in order to show a steady, steady, upward growth in profits.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The main function of financial reporting is to present and communicate information that helps to build business management. The adequate detailed and expert information is essential to facilitate investors to build sound investment decisions. According to the Securities Exchange Commission (SEC), deceptive financial reports are published at a shocking rate (Schroeder, 2001). This is evidenced by the reality that a study by the Financial Executives International group indicated that the number of financial restatements published in the last three years was higher than the previous ten years collective (Weil, 2001). The increased pressure on business executives to meet investor expectations has led many of them not only to bend accounting rules to the breaking point but also, in some cases, to deliberately manipulate reported profits. Under raised scrutiny from the previously misleading financial statements. The purpose of this article is to identify examples of common abuse associated with the deliberate attempt by business leaders to manipulate their reporting of results. In addition, the role that accounting professionals and the Securities and Exchange Commission play in preserving the integrity and viability of financial markets in the United States will be examined. SEC over the managed earnings issue, these companies found it essential to restate.</w:t>
      </w:r>
    </w:p>
    <w:p w:rsidR="0031298C" w:rsidRPr="004F64A2" w:rsidRDefault="0031298C" w:rsidP="004F64A2">
      <w:pPr>
        <w:tabs>
          <w:tab w:val="left" w:pos="1845"/>
        </w:tabs>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Earnings Management</w:t>
      </w:r>
    </w:p>
    <w:p w:rsidR="006F02A0" w:rsidRPr="004F64A2" w:rsidRDefault="006F02A0" w:rsidP="004F64A2">
      <w:pPr>
        <w:tabs>
          <w:tab w:val="left" w:pos="1845"/>
        </w:tabs>
        <w:spacing w:line="480" w:lineRule="auto"/>
        <w:jc w:val="both"/>
        <w:rPr>
          <w:rFonts w:ascii="Times New Roman" w:hAnsi="Times New Roman" w:cs="Times New Roman"/>
          <w:sz w:val="24"/>
          <w:szCs w:val="24"/>
        </w:rPr>
      </w:pPr>
      <w:r w:rsidRPr="004F64A2">
        <w:rPr>
          <w:rFonts w:ascii="Times New Roman" w:hAnsi="Times New Roman" w:cs="Times New Roman"/>
          <w:sz w:val="24"/>
          <w:szCs w:val="24"/>
        </w:rPr>
        <w:t xml:space="preserve">In 1998, SEC Chairman Arthur Levitt then expressed growing concern that companies' willingness to meet investor expectations for results was leading to an erosion of the quality of the business financial information (Levitt, 1998). He expressed concern that the motivation to </w:t>
      </w:r>
      <w:r w:rsidRPr="004F64A2">
        <w:rPr>
          <w:rFonts w:ascii="Times New Roman" w:hAnsi="Times New Roman" w:cs="Times New Roman"/>
          <w:sz w:val="24"/>
          <w:szCs w:val="24"/>
        </w:rPr>
        <w:lastRenderedPageBreak/>
        <w:t>arrive at consensus earnings estimates has prompted many business leaders to engage in earnings manipulation to project a smooth earnings model. Levitt expressed frustration at the SEC over areas where the integrity of financial reporting was losing ground to the illusion, where gray areas of accounting were being exploited for business and where corporate earnings reports reflected management's hopes rather than company performance. Several corporate approaches are committed to manipulating their reported income. The following discussion focuses on four common areas of abuse: restructuring costs, miscellaneous caveats, materiality, and manipulation of revenue recognition.</w:t>
      </w:r>
    </w:p>
    <w:p w:rsidR="00E500FF" w:rsidRPr="004F64A2" w:rsidRDefault="00E500FF"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Restructuring Costs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Companies regularly assess the efficiency and profitability of their business segments to remain competitive. This assessment can lead to a decision to restructure the organization. Restructuring charges are separated from other charges in the income statement to isolate the impact of non-recurring items on net income. Its segregation helps state readers better understand the benefits associated with normal and recurring business operations. However, it has become more familiar for companies to use the so-called big bath strategy with their reorganization costs. The approach used is to combine a large number of costs that should be properly amortized over several years, and then spend them all in a restructuring shift. This is often done in a declining quarter that is already destined to disappoint investors. The idea is to take a hard hit at the bottom line, clean up the mistakes of the past, and get the bad news behind the business. Why should a business exaggerate these fees? The argument is that investors are prepared to look beyond a single loss and focus on the prospects for the future. Presumably, the large write-offs open the way for the company to meet or exceed forecasts of future profits. Besides, if the charges are overestimated and do not materialize fully, they provide a cushion for the future. For example, in 1997 Heinz </w:t>
      </w:r>
      <w:r w:rsidRPr="004F64A2">
        <w:rPr>
          <w:rFonts w:ascii="Times New Roman" w:hAnsi="Times New Roman" w:cs="Times New Roman"/>
          <w:sz w:val="24"/>
          <w:szCs w:val="24"/>
          <w:lang w:val="en-IN"/>
        </w:rPr>
        <w:lastRenderedPageBreak/>
        <w:t>overestimated the cost of its restructuring by about $ 25 million. When it subsequently restated this amount, it did so by directly increasing the operating result of the following year (Sherman and Young, 2001). This financial information is misleading for investors, and the SEC has openly criticized this financial information.</w:t>
      </w:r>
    </w:p>
    <w:p w:rsidR="00BB26DB" w:rsidRPr="004F64A2" w:rsidRDefault="00BB26DB"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Miscellaneous Reserves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Business executives keep a constant eye on the market price of their company's shares. They know that indirect investors don't like nasty earnings surprises, so they are motivated to try and keep net income on a steadily rising trend. One approach used by some companies is to establish a miscellaneous or special reserve account in which unrealistic estimates are used to establish liabilities for items such as bad debts, loan losses, future warranty costs, returns on loans, and sales return. During prosperous times, companies can overstate the expenses associated with these items, thereby avoiding the difficulty of matching such a high level of net income in subsequent periods. At the same time, excessive reserves are built up and can be used to compensate for losses from declining years. Thus, executives can achieve a steady upward trend in net income by managing their earnings.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Xerox Corporation is an example of a large corporation that got caught up in the questionable practice of profit management. Xerox recently restated its profits for 1998, 1999, and 2000 and acknowledged that it had misapplied certain generally accepted accounting principles (GAAP) in several ways, including the misuse of a $ 100 million reserve used to compensate for unrelated links. expenditure (Schroeder, 2001). This apparent abuse of financial reporting has caught the attention of the SEC, which is conducting a thorough investigation into its accounting practices.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lastRenderedPageBreak/>
        <w:t>In another example, the SEC settled civil fraud charges with four executives from Paracelsus Healthcare Corporation. The SEC alleged that it caused the company to significantly overestimate its reported profits by 9% to 303% during the period 1993 to 1996. The four executives agreed to pay fines totaling $ 250,000 in settlement of the SEC's fees. that they created, among other things. a reserve of $ 16 million which was used to mask a drop in income (Kirchheimer, 2001). In response to the regulation, the SEC said that when companies publish misleading financial reports, public confidence in financial markets is undermined.</w:t>
      </w:r>
    </w:p>
    <w:p w:rsidR="009023C5" w:rsidRPr="004F64A2" w:rsidRDefault="009023C5"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Materiality</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The principle of materiality underlines the concept that certain financial transactions are so insignificant that they are not worth measuring and reporting with exact precision. For example, some companies may identify an item as material only if it affects profits by more than 5% to 10%. This principle allows for judgment and flexibility in financial reporting. However, this principle can be misused by companies that wish to do so. For example, a company could deliberately manipulate income or expenses and yet do so within a maximum established acceptability percentage and claim that the anomaly is not significant.</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In 1999, W.R. Grace &amp; Company settled a profit manipulation case with the SEC. The SEC alleged that Grace &amp; Company breached generally accepted accounting principles by creating a general-purpose reserve fund to smooth profits from 1991 to 1995 by hiding profits in good years and using them to mask slower profits these last years. Internal documents from the company and the audit firm revealed that the Big Five accounting firm that had audited Grace &amp; Company discovered the accumulation of profits in the early 1990s and repeatedly warned the executives of the company. The company that what they were doing was incorrect. However, </w:t>
      </w:r>
      <w:r w:rsidRPr="004F64A2">
        <w:rPr>
          <w:rFonts w:ascii="Times New Roman" w:hAnsi="Times New Roman" w:cs="Times New Roman"/>
          <w:sz w:val="24"/>
          <w:szCs w:val="24"/>
          <w:lang w:val="en-IN"/>
        </w:rPr>
        <w:lastRenderedPageBreak/>
        <w:t xml:space="preserve">even after Grace &amp; Company began to transfer money into income in 1993 and 1994, the external auditors continued to give the company a </w:t>
      </w:r>
      <w:r w:rsidR="000A5F2A" w:rsidRPr="004F64A2">
        <w:rPr>
          <w:rFonts w:ascii="Times New Roman" w:hAnsi="Times New Roman" w:cs="Times New Roman"/>
          <w:sz w:val="24"/>
          <w:szCs w:val="24"/>
          <w:lang w:val="en-IN"/>
        </w:rPr>
        <w:t>favourable</w:t>
      </w:r>
      <w:r w:rsidRPr="004F64A2">
        <w:rPr>
          <w:rFonts w:ascii="Times New Roman" w:hAnsi="Times New Roman" w:cs="Times New Roman"/>
          <w:sz w:val="24"/>
          <w:szCs w:val="24"/>
          <w:lang w:val="en-IN"/>
        </w:rPr>
        <w:t xml:space="preserve"> audit opinion on their financial statements. The accounting firm based its decision on the fact that it did not consider the irregularities to be “significant” (Davis, 1999).</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The argument that the impact of distortions important to a smoothing of profits is too small to be of importance calls into question the reason why a company would work so hard to achieve it. In today's markets, missing a profit projection by a few cents can result in millions of dollars losing the market value of a company's securities. The SEC viewed Grace &amp; Company's distortions as material and therefore a violation of generally accepted accounting principles, as well as a violation of securities laws. As part of the settlement with the SEC, Grace agreed to pay $ 1 million to establish a public education program to promote better financial reporting and obedience to generally accepted accounting principles (Nielsen, 1999).</w:t>
      </w:r>
    </w:p>
    <w:p w:rsidR="001C7091" w:rsidRPr="004F64A2" w:rsidRDefault="001C7091"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Improper Revenue Recognition</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Revenue is generally considered earned and therefore recognized when a product has been shipped or received by the customer, or when a service has been rendered. In most cases, this determination is relatively simple. However, for some businesses, identifying the exact moment when revenues are earned requires judgment. Various businesses manipulate their income by accounting for profits before a sale ends earlier than a product is delivered to the customer, or at a time when the customer still has the choice to delay the sale (Le-vitt, 1998).</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In March 2000, MicroStrategy informs that it was altering its revenue recognition policies and, as a result, it restated its reported profits for 1998 and 1999. The company sold software with multi-year consulting contracts to its customers. However, rather than recognizing the revenue </w:t>
      </w:r>
      <w:r w:rsidRPr="004F64A2">
        <w:rPr>
          <w:rFonts w:ascii="Times New Roman" w:hAnsi="Times New Roman" w:cs="Times New Roman"/>
          <w:sz w:val="24"/>
          <w:szCs w:val="24"/>
          <w:lang w:val="en-IN"/>
        </w:rPr>
        <w:lastRenderedPageBreak/>
        <w:t>from software sales over the life of the contracts, MicroStrategy recorded them immediately. MicroStrategy decided to change its revenue recognition policy after the SEC began to question the merits of these tactics among software publishers. This change in policy resulted in a change in reported profits of $ 12.6 million to a reported loss of more than $ 34 million. The financial impact was immediate and dramatic. MicroStrategy's share price collapsed 62% in a single day, wiping out $ 12 billion in market value Sherman and Young, 2001). Ultimately, it is shareholders who are affected by questionable revenue recognition policies. As a result, the SEC filed a lawsuit against MicroStrategy accusing them of premature revenue recognition, resulting in incorrect financial statements. The investigation resulted in the settlement of fraud charges and fines of $ 10 million against several of the company's senior executives (Hunt, 2001).</w:t>
      </w:r>
    </w:p>
    <w:p w:rsidR="001872CB" w:rsidRPr="004F64A2" w:rsidRDefault="001872CB"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The Role of Accounting Professionals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The importance of reliable, </w:t>
      </w:r>
      <w:r w:rsidR="000A5F2A" w:rsidRPr="004F64A2">
        <w:rPr>
          <w:rFonts w:ascii="Times New Roman" w:hAnsi="Times New Roman" w:cs="Times New Roman"/>
          <w:sz w:val="24"/>
          <w:szCs w:val="24"/>
          <w:lang w:val="en-IN"/>
        </w:rPr>
        <w:t>efficient</w:t>
      </w:r>
      <w:r w:rsidRPr="004F64A2">
        <w:rPr>
          <w:rFonts w:ascii="Times New Roman" w:hAnsi="Times New Roman" w:cs="Times New Roman"/>
          <w:sz w:val="24"/>
          <w:szCs w:val="24"/>
          <w:lang w:val="en-IN"/>
        </w:rPr>
        <w:t xml:space="preserve"> and trustworthy financial markets as a means of ensuring capital formation can hardly be overstated. Financial markets on another side of the world have learned the atrocious lesson that if investors do not receive satisfactory, informative and reliable information, then the bonds of trust between shareholders and the company will be severed. Accordingly, investors lose confidence in the system and the financial markets drop their role as a steady force in capital formation.</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Today, the US financial markets are clearly among the best in the world. This is due in large part to the confidence investors have in the financial reporting system that exists in the United States statements. Accounting standards exist as a result of efforts to standardize, and therefore make comparable, the financial information of companies. However, recognizing that it is not the potential to predict every new type of business organization or innovative type of business </w:t>
      </w:r>
      <w:r w:rsidRPr="004F64A2">
        <w:rPr>
          <w:rFonts w:ascii="Times New Roman" w:hAnsi="Times New Roman" w:cs="Times New Roman"/>
          <w:sz w:val="24"/>
          <w:szCs w:val="24"/>
          <w:lang w:val="en-IN"/>
        </w:rPr>
        <w:lastRenderedPageBreak/>
        <w:t>transaction, the accounting profession has developed principles that allow flexibility in order to adjust changing circumstances commercial environments. Consequently, judgments requiring subjectivity and discretion are often necessary for the application of generally accepted accounting principles (GAAP). This flexibility in reporting standards creates an opportunity for individuals who are inclined to manipulate the declared profits of a business. For this reason, it is most important that members of the accounting profession preserve the highest standards of objectivity and integrity in the performance of their duties (Monacelli,   T.   2001).</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United States accounting profession has a tradition and a standing for behaving in a manner that meets the highest ethical standards. Conversely, in current years, questions have arisen as regards the role that accountants play in the inappropriate management of corporate profits. While the presentation of a company's financial statements is the responsibility of management, the preparation of the financial statements is the legal responsibility of the accounting profession. Since 1998, there has been a 28% increase in the number of accounting-related cases initiated by the SEC. In 2000 alone, SEC regulators sued 100 companies for financial fraud against American companies (Schroeder, 2001). In each case of financial fraud or reporting failure, the SEC wants to know where the accountants were and what role did they play? Too often, in these cases, the company's accountants or external auditors have either turned a blind eye to the problem or been directly involved in the system. In fact, in 2000, investigations of financial fraud or reporting failures led the SEC to ban 26 corporate CPAs and 11 external audit professionals from working for public companies under the jurisdiction of the SEC. SEC (Hunt, 2001).</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The SEC is gradually more concerned about the potential conflicts of interest that can occur when accounting firms afford both audit and non-audit services to the same company (Weil, 2001). The SEC cited a recent land fraud settlement with Arthur Andersen's Big Five accounting </w:t>
      </w:r>
      <w:r w:rsidRPr="004F64A2">
        <w:rPr>
          <w:rFonts w:ascii="Times New Roman" w:hAnsi="Times New Roman" w:cs="Times New Roman"/>
          <w:sz w:val="24"/>
          <w:szCs w:val="24"/>
          <w:lang w:val="en-IN"/>
        </w:rPr>
        <w:lastRenderedPageBreak/>
        <w:t>firm in which it agreed to pay a $ 7 million fine to settle charges of filing false and misleading audit reports from its Waste Management client. Waste Management has admitted to overestimating its pre-tax profits by over $ 1 billion from 1992 to 1996. The SEC has expressed concern that Arthur Andersen has ignored gross violations of accounting principles in part due to conflicts of interest caused by the fact that Waste Management was a major client and a source of revenue from consulting and non-audit services</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Accountants are often faced with various pressures in their work. As stated earlier, in order to improve the value of shares, company management generally prefers to report a steady upward trend in earnings rather than reporting a widely fluctuating earnings profile. However, accountants must always resist the pressure to deliberately smooth or manage profits. They should always refuse to engage in unethical reporting practices, such as shifting income and expenses between periods, the improper capitalization of costs that should be expensed, or misclassifying product costs and periods (Monacelli,   T.   2001).</w:t>
      </w:r>
    </w:p>
    <w:p w:rsidR="006F02A0" w:rsidRPr="004F64A2" w:rsidRDefault="006F02A0"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Sometimes the right ethical choices are obvious and straightforward. But often the correct ethical thing to do is much more ambiguous, and often the pressure to choose the least ethical but most timely course of action can be overwhelming. American Institute of CPAs (AICPA) and the Institute of Management Accountants (IMA) </w:t>
      </w:r>
      <w:r w:rsidR="000A5F2A" w:rsidRPr="004F64A2">
        <w:rPr>
          <w:rFonts w:ascii="Times New Roman" w:hAnsi="Times New Roman" w:cs="Times New Roman"/>
          <w:sz w:val="24"/>
          <w:szCs w:val="24"/>
          <w:lang w:val="en-IN"/>
        </w:rPr>
        <w:t>has</w:t>
      </w:r>
      <w:r w:rsidRPr="004F64A2">
        <w:rPr>
          <w:rFonts w:ascii="Times New Roman" w:hAnsi="Times New Roman" w:cs="Times New Roman"/>
          <w:sz w:val="24"/>
          <w:szCs w:val="24"/>
          <w:lang w:val="en-IN"/>
        </w:rPr>
        <w:t xml:space="preserve"> recognized standards of ethical accomplish for their members. Established codes of conduct provide standards that colleagues, clients, clients, shareholders, and the general public can expect from members of the accounting profession. In addition, codes of conduct provide accountants with a recognized set of standards upon which to rely when faced with an ethical dilemma. For example, when confronted with others to engage in an unethical or questionable act, the professional accountant may designate the code of professional ethics as a reference guiding his actions in these areas. Accounting professionals </w:t>
      </w:r>
      <w:r w:rsidRPr="004F64A2">
        <w:rPr>
          <w:rFonts w:ascii="Times New Roman" w:hAnsi="Times New Roman" w:cs="Times New Roman"/>
          <w:sz w:val="24"/>
          <w:szCs w:val="24"/>
          <w:lang w:val="en-IN"/>
        </w:rPr>
        <w:lastRenderedPageBreak/>
        <w:t>have an obligation to shareholders, the general public, their profession, the organizations they work for, and to themselves, at all times, to the highest standards of ethical behavior.</w:t>
      </w:r>
    </w:p>
    <w:p w:rsidR="003F2158" w:rsidRPr="004F64A2" w:rsidRDefault="003F2158"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The Role of the Securities and Exchange Commission</w:t>
      </w:r>
    </w:p>
    <w:p w:rsidR="004F64A2" w:rsidRPr="004F64A2" w:rsidRDefault="004F64A2"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The primary responsibility of the Securities and Exchange Commission (SEC) is to protect investors and maintain the integrity of the financial markets. The Federal Securities Act of 1933 gave the SEC the power to regulate initial public offerings of a company’s securities in order to protect investors from fraud. The Securities Act of 1934 gave the SEC the authority to regulate succeeding transactions. Additionally, it has conferred on the SEC the power to recommend accounting principles and reporting practices for widely traded companies. Both laws were approved by Congress to help prevent the mistreatment of accounting and financial reporting.</w:t>
      </w:r>
    </w:p>
    <w:p w:rsidR="004F64A2" w:rsidRPr="004F64A2" w:rsidRDefault="004F64A2"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The violation of federal securities laws is under investigation by the SEC's Division of Enforcement. The number of companies investigated for accounting fraud has increased significantly in recent years to reach almost 260 (Schroeder, 2001).  The SEC calls an increase in the number of incidents of mismanagement of earnings by publicly traded companies. As noted above, profit management can be achieved through incorrect recognition of restructuring costs, misuse of miscellaneous reserves, incorrect application of the concept of materiality, and premature recognition of revenue. Each of these methods can be used to manage the timing of revenue and expense recognition, thereby enabling businesses to meet their profit forecasts. In response to the use of these abusive practices by an increasing number of companies, the SEC has proposed new regulations to address the problem (Stanko, 2001). The Supplementary Financial Information bill is designed to improve the clarity of financial information by requiring </w:t>
      </w:r>
      <w:r w:rsidRPr="004F64A2">
        <w:rPr>
          <w:rFonts w:ascii="Times New Roman" w:hAnsi="Times New Roman" w:cs="Times New Roman"/>
          <w:sz w:val="24"/>
          <w:szCs w:val="24"/>
          <w:lang w:val="en-IN"/>
        </w:rPr>
        <w:lastRenderedPageBreak/>
        <w:t>greater disclosure of certain underlying accounting procedures and assumptions that are made by management to justify these procedures.</w:t>
      </w:r>
    </w:p>
    <w:p w:rsidR="006F02A0" w:rsidRPr="004F64A2" w:rsidRDefault="004F64A2"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The SEC also has the legal authority to impose sanctions on businesses that fail to comply with SEC regulations. The SEC's Division of Enforcement has intensified its investigations into cases of financial fraud, particularly in the area of ​​inappropriate revenue management. He created a special task force on financial fraud that focuses on companies whose financial statements reflect improper profit management or other apparent violations of generally accepted accounting principles (GAAP). These extended investigations now include audit work carried out by external accounting firms. The SEC has made it clear that it has stepped up its scrutiny of external audit firms for failing to prevent and disclose such manipulation by their clients. The SEC has demonstrated its determination to aggressively use all legal remedies, such as substantial fines and prohibiting professionals from doing accounting work for listed companies, to ensure compliance with SEC regulations.</w:t>
      </w:r>
    </w:p>
    <w:p w:rsidR="003F2158" w:rsidRPr="004F64A2" w:rsidRDefault="003F2158" w:rsidP="004F64A2">
      <w:pPr>
        <w:spacing w:line="480" w:lineRule="auto"/>
        <w:jc w:val="both"/>
        <w:rPr>
          <w:rFonts w:ascii="Times New Roman" w:hAnsi="Times New Roman" w:cs="Times New Roman"/>
          <w:b/>
          <w:sz w:val="24"/>
          <w:szCs w:val="24"/>
          <w:lang w:val="en-IN"/>
        </w:rPr>
      </w:pPr>
      <w:r w:rsidRPr="004F64A2">
        <w:rPr>
          <w:rFonts w:ascii="Times New Roman" w:hAnsi="Times New Roman" w:cs="Times New Roman"/>
          <w:b/>
          <w:sz w:val="24"/>
          <w:szCs w:val="24"/>
          <w:lang w:val="en-IN"/>
        </w:rPr>
        <w:t>Conclusion</w:t>
      </w:r>
    </w:p>
    <w:p w:rsidR="00F15A8B" w:rsidRPr="004F64A2" w:rsidRDefault="003F2158" w:rsidP="004F64A2">
      <w:pPr>
        <w:spacing w:line="480" w:lineRule="auto"/>
        <w:jc w:val="both"/>
        <w:rPr>
          <w:rFonts w:ascii="Times New Roman" w:hAnsi="Times New Roman" w:cs="Times New Roman"/>
          <w:sz w:val="24"/>
          <w:szCs w:val="24"/>
          <w:lang w:val="en-IN"/>
        </w:rPr>
      </w:pPr>
      <w:r w:rsidRPr="004F64A2">
        <w:rPr>
          <w:rFonts w:ascii="Times New Roman" w:hAnsi="Times New Roman" w:cs="Times New Roman"/>
          <w:sz w:val="24"/>
          <w:szCs w:val="24"/>
          <w:lang w:val="en-IN"/>
        </w:rPr>
        <w:t xml:space="preserve">In recent years, the SEC has expressed </w:t>
      </w:r>
      <w:r w:rsidR="00D006FC" w:rsidRPr="004F64A2">
        <w:rPr>
          <w:rFonts w:ascii="Times New Roman" w:hAnsi="Times New Roman" w:cs="Times New Roman"/>
          <w:sz w:val="24"/>
          <w:szCs w:val="24"/>
          <w:lang w:val="en-IN"/>
        </w:rPr>
        <w:t>upward</w:t>
      </w:r>
      <w:r w:rsidRPr="004F64A2">
        <w:rPr>
          <w:rFonts w:ascii="Times New Roman" w:hAnsi="Times New Roman" w:cs="Times New Roman"/>
          <w:sz w:val="24"/>
          <w:szCs w:val="24"/>
          <w:lang w:val="en-IN"/>
        </w:rPr>
        <w:t xml:space="preserve"> concern about the </w:t>
      </w:r>
      <w:r w:rsidR="00D006FC" w:rsidRPr="004F64A2">
        <w:rPr>
          <w:rFonts w:ascii="Times New Roman" w:hAnsi="Times New Roman" w:cs="Times New Roman"/>
          <w:sz w:val="24"/>
          <w:szCs w:val="24"/>
          <w:lang w:val="en-IN"/>
        </w:rPr>
        <w:t>excellence</w:t>
      </w:r>
      <w:r w:rsidRPr="004F64A2">
        <w:rPr>
          <w:rFonts w:ascii="Times New Roman" w:hAnsi="Times New Roman" w:cs="Times New Roman"/>
          <w:sz w:val="24"/>
          <w:szCs w:val="24"/>
          <w:lang w:val="en-IN"/>
        </w:rPr>
        <w:t xml:space="preserve"> of the financial statements of publicly traded co</w:t>
      </w:r>
      <w:r w:rsidR="00D006FC" w:rsidRPr="004F64A2">
        <w:rPr>
          <w:rFonts w:ascii="Times New Roman" w:hAnsi="Times New Roman" w:cs="Times New Roman"/>
          <w:sz w:val="24"/>
          <w:szCs w:val="24"/>
          <w:lang w:val="en-IN"/>
        </w:rPr>
        <w:t xml:space="preserve">mpanies. </w:t>
      </w:r>
      <w:r w:rsidR="00171571" w:rsidRPr="004F64A2">
        <w:rPr>
          <w:rFonts w:ascii="Times New Roman" w:hAnsi="Times New Roman" w:cs="Times New Roman"/>
          <w:sz w:val="24"/>
          <w:szCs w:val="24"/>
          <w:lang w:val="en-IN"/>
        </w:rPr>
        <w:t>While</w:t>
      </w:r>
      <w:r w:rsidR="00D006FC" w:rsidRPr="004F64A2">
        <w:rPr>
          <w:rFonts w:ascii="Times New Roman" w:hAnsi="Times New Roman" w:cs="Times New Roman"/>
          <w:sz w:val="24"/>
          <w:szCs w:val="24"/>
          <w:lang w:val="en-IN"/>
        </w:rPr>
        <w:t xml:space="preserve"> the actual output of operations fails</w:t>
      </w:r>
      <w:r w:rsidRPr="004F64A2">
        <w:rPr>
          <w:rFonts w:ascii="Times New Roman" w:hAnsi="Times New Roman" w:cs="Times New Roman"/>
          <w:sz w:val="24"/>
          <w:szCs w:val="24"/>
          <w:lang w:val="en-IN"/>
        </w:rPr>
        <w:t xml:space="preserve"> to produce the desired income, </w:t>
      </w:r>
      <w:r w:rsidR="00171571" w:rsidRPr="004F64A2">
        <w:rPr>
          <w:rFonts w:ascii="Times New Roman" w:hAnsi="Times New Roman" w:cs="Times New Roman"/>
          <w:sz w:val="24"/>
          <w:szCs w:val="24"/>
          <w:lang w:val="en-IN"/>
        </w:rPr>
        <w:t>an</w:t>
      </w:r>
      <w:r w:rsidRPr="004F64A2">
        <w:rPr>
          <w:rFonts w:ascii="Times New Roman" w:hAnsi="Times New Roman" w:cs="Times New Roman"/>
          <w:sz w:val="24"/>
          <w:szCs w:val="24"/>
          <w:lang w:val="en-IN"/>
        </w:rPr>
        <w:t xml:space="preserve"> </w:t>
      </w:r>
      <w:r w:rsidR="00D006FC" w:rsidRPr="004F64A2">
        <w:rPr>
          <w:rFonts w:ascii="Times New Roman" w:hAnsi="Times New Roman" w:cs="Times New Roman"/>
          <w:sz w:val="24"/>
          <w:szCs w:val="24"/>
          <w:lang w:val="en-IN"/>
        </w:rPr>
        <w:t>outsized</w:t>
      </w:r>
      <w:r w:rsidRPr="004F64A2">
        <w:rPr>
          <w:rFonts w:ascii="Times New Roman" w:hAnsi="Times New Roman" w:cs="Times New Roman"/>
          <w:sz w:val="24"/>
          <w:szCs w:val="24"/>
          <w:lang w:val="en-IN"/>
        </w:rPr>
        <w:t xml:space="preserve"> and growing number of companies have </w:t>
      </w:r>
      <w:r w:rsidR="00171571" w:rsidRPr="004F64A2">
        <w:rPr>
          <w:rFonts w:ascii="Times New Roman" w:hAnsi="Times New Roman" w:cs="Times New Roman"/>
          <w:sz w:val="24"/>
          <w:szCs w:val="24"/>
          <w:lang w:val="en-IN"/>
        </w:rPr>
        <w:t>established</w:t>
      </w:r>
      <w:r w:rsidRPr="004F64A2">
        <w:rPr>
          <w:rFonts w:ascii="Times New Roman" w:hAnsi="Times New Roman" w:cs="Times New Roman"/>
          <w:sz w:val="24"/>
          <w:szCs w:val="24"/>
          <w:lang w:val="en-IN"/>
        </w:rPr>
        <w:t xml:space="preserve"> their willingness to manipulate </w:t>
      </w:r>
      <w:r w:rsidR="00171571" w:rsidRPr="004F64A2">
        <w:rPr>
          <w:rFonts w:ascii="Times New Roman" w:hAnsi="Times New Roman" w:cs="Times New Roman"/>
          <w:sz w:val="24"/>
          <w:szCs w:val="24"/>
          <w:lang w:val="en-IN"/>
        </w:rPr>
        <w:t>returns</w:t>
      </w:r>
      <w:r w:rsidR="00D006FC" w:rsidRPr="004F64A2">
        <w:rPr>
          <w:rFonts w:ascii="Times New Roman" w:hAnsi="Times New Roman" w:cs="Times New Roman"/>
          <w:sz w:val="24"/>
          <w:szCs w:val="24"/>
          <w:lang w:val="en-IN"/>
        </w:rPr>
        <w:t xml:space="preserve"> to meet </w:t>
      </w:r>
      <w:r w:rsidR="00171571" w:rsidRPr="004F64A2">
        <w:rPr>
          <w:rFonts w:ascii="Times New Roman" w:hAnsi="Times New Roman" w:cs="Times New Roman"/>
          <w:sz w:val="24"/>
          <w:szCs w:val="24"/>
          <w:lang w:val="en-IN"/>
        </w:rPr>
        <w:t>investor’s</w:t>
      </w:r>
      <w:r w:rsidR="00D006FC" w:rsidRPr="004F64A2">
        <w:rPr>
          <w:rFonts w:ascii="Times New Roman" w:hAnsi="Times New Roman" w:cs="Times New Roman"/>
          <w:sz w:val="24"/>
          <w:szCs w:val="24"/>
          <w:lang w:val="en-IN"/>
        </w:rPr>
        <w:t xml:space="preserve"> </w:t>
      </w:r>
      <w:r w:rsidRPr="004F64A2">
        <w:rPr>
          <w:rFonts w:ascii="Times New Roman" w:hAnsi="Times New Roman" w:cs="Times New Roman"/>
          <w:sz w:val="24"/>
          <w:szCs w:val="24"/>
          <w:lang w:val="en-IN"/>
        </w:rPr>
        <w:t xml:space="preserve">short-term </w:t>
      </w:r>
      <w:r w:rsidR="00D006FC" w:rsidRPr="004F64A2">
        <w:rPr>
          <w:rFonts w:ascii="Times New Roman" w:hAnsi="Times New Roman" w:cs="Times New Roman"/>
          <w:sz w:val="24"/>
          <w:szCs w:val="24"/>
          <w:lang w:val="en-IN"/>
        </w:rPr>
        <w:t>potential</w:t>
      </w:r>
      <w:r w:rsidRPr="004F64A2">
        <w:rPr>
          <w:rFonts w:ascii="Times New Roman" w:hAnsi="Times New Roman" w:cs="Times New Roman"/>
          <w:sz w:val="24"/>
          <w:szCs w:val="24"/>
          <w:lang w:val="en-IN"/>
        </w:rPr>
        <w:t>.</w:t>
      </w:r>
      <w:r w:rsidRPr="004F64A2">
        <w:rPr>
          <w:rFonts w:ascii="Times New Roman" w:hAnsi="Times New Roman" w:cs="Times New Roman"/>
          <w:sz w:val="24"/>
          <w:szCs w:val="24"/>
        </w:rPr>
        <w:t xml:space="preserve"> </w:t>
      </w:r>
      <w:r w:rsidRPr="004F64A2">
        <w:rPr>
          <w:rFonts w:ascii="Times New Roman" w:hAnsi="Times New Roman" w:cs="Times New Roman"/>
          <w:sz w:val="24"/>
          <w:szCs w:val="24"/>
          <w:lang w:val="en-IN"/>
        </w:rPr>
        <w:t>Too often the result is that investors end up losing hundreds of millions of dollars in stock valuations. For example, the reprocessing of profits in 2000 by MicroStrategy Inc. resulted in a reduction in shareholder value of $ 11.9 billion over three days (Weil, 2001).</w:t>
      </w:r>
      <w:r w:rsidRPr="004F64A2">
        <w:rPr>
          <w:rFonts w:ascii="Times New Roman" w:hAnsi="Times New Roman" w:cs="Times New Roman"/>
          <w:sz w:val="24"/>
          <w:szCs w:val="24"/>
        </w:rPr>
        <w:t xml:space="preserve"> </w:t>
      </w:r>
      <w:r w:rsidRPr="004F64A2">
        <w:rPr>
          <w:rFonts w:ascii="Times New Roman" w:hAnsi="Times New Roman" w:cs="Times New Roman"/>
          <w:sz w:val="24"/>
          <w:szCs w:val="24"/>
          <w:lang w:val="en-IN"/>
        </w:rPr>
        <w:t xml:space="preserve">To a large extent, the success of our globalized economy depends on the reliability of the US financial markets. Financial markets come out by </w:t>
      </w:r>
      <w:r w:rsidRPr="004F64A2">
        <w:rPr>
          <w:rFonts w:ascii="Times New Roman" w:hAnsi="Times New Roman" w:cs="Times New Roman"/>
          <w:sz w:val="24"/>
          <w:szCs w:val="24"/>
          <w:lang w:val="en-IN"/>
        </w:rPr>
        <w:lastRenderedPageBreak/>
        <w:t>the faith of investors. The US financial markets are currently enjoying the confidence of investors around the world. But how much accounting manipulation and misleading financial information will it take to undermine people's confidence in our markets? Members of the accounting profession should never lose sight of their responsibility to the investing public. Nothing less than the viability of ou</w:t>
      </w:r>
      <w:r w:rsidR="00171571" w:rsidRPr="004F64A2">
        <w:rPr>
          <w:rFonts w:ascii="Times New Roman" w:hAnsi="Times New Roman" w:cs="Times New Roman"/>
          <w:sz w:val="24"/>
          <w:szCs w:val="24"/>
          <w:lang w:val="en-IN"/>
        </w:rPr>
        <w:t>r financial markets is at stake (Schiffman, L.G. &amp; Kanauk, L.E 2007).</w:t>
      </w:r>
    </w:p>
    <w:p w:rsidR="00F15A8B" w:rsidRDefault="00F15A8B">
      <w:pPr>
        <w:rPr>
          <w:rFonts w:ascii="Times New Roman" w:hAnsi="Times New Roman" w:cs="Times New Roman"/>
          <w:sz w:val="24"/>
          <w:szCs w:val="24"/>
          <w:lang w:val="en-IN"/>
        </w:rPr>
      </w:pPr>
      <w:r>
        <w:rPr>
          <w:rFonts w:ascii="Times New Roman" w:hAnsi="Times New Roman" w:cs="Times New Roman"/>
          <w:sz w:val="24"/>
          <w:szCs w:val="24"/>
          <w:lang w:val="en-IN"/>
        </w:rPr>
        <w:br w:type="page"/>
      </w:r>
    </w:p>
    <w:sdt>
      <w:sdtPr>
        <w:rPr>
          <w:rFonts w:ascii="Times New Roman" w:eastAsiaTheme="minorHAnsi" w:hAnsi="Times New Roman" w:cs="Times New Roman"/>
          <w:b w:val="0"/>
          <w:bCs w:val="0"/>
          <w:color w:val="auto"/>
          <w:sz w:val="24"/>
          <w:szCs w:val="24"/>
          <w:lang w:bidi="ar-SA"/>
        </w:rPr>
        <w:id w:val="23820292"/>
        <w:docPartObj>
          <w:docPartGallery w:val="Bibliographies"/>
          <w:docPartUnique/>
        </w:docPartObj>
      </w:sdtPr>
      <w:sdtContent>
        <w:p w:rsidR="00F15A8B" w:rsidRPr="004F64A2" w:rsidRDefault="007E7B00" w:rsidP="004F64A2">
          <w:pPr>
            <w:pStyle w:val="Heading1"/>
            <w:spacing w:line="480" w:lineRule="auto"/>
            <w:jc w:val="both"/>
            <w:rPr>
              <w:rFonts w:ascii="Times New Roman" w:hAnsi="Times New Roman" w:cs="Times New Roman"/>
              <w:sz w:val="24"/>
              <w:szCs w:val="24"/>
            </w:rPr>
          </w:pPr>
          <w:r w:rsidRPr="004F64A2">
            <w:rPr>
              <w:rFonts w:ascii="Times New Roman" w:hAnsi="Times New Roman" w:cs="Times New Roman"/>
              <w:sz w:val="24"/>
              <w:szCs w:val="24"/>
            </w:rPr>
            <w:t>References</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Beneish, Messod D. 1999. The Detection of Earnings Manipulation. Financial Analysts Journal(Septem-ber-October): vol. 55, no. 5, 24(13).</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Davis, Ann. 1999. SEC and W.R. Grace Are Near Accord Over Alleged Earnings Manipulation. Wall Street Journal(June 25): B5.</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Hunt, Isaac C. Jr. 2001. Financial Reporting Challenges. The CPA Letter(July-August): vol. 81, no. 6, 6(2).</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Hunt, Isaac C. Jr. 2001. Financial Reporting Challenges. The CPA Letter(July-August): vol. 81, no. 6, 6(2).</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Kirchheimer, Barbara. 2001. It Still Smarts. Modern Healthcare(June 25): vol. 31, no. 26, 14(2).</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Levitt, Arthur Jr. 1998. The “Numbers Game.” The CPA Journal(December): vol. 68, no. 12, 14(5).</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Monacelli,   T.   (2001)   New   International   Monetary   Arrangements   and   the   exchange   Rate.International Journal of Finance &amp; Economics, Vol 6 (4) PP. 389 – 400.</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Monacelli,   T.   (2001)   New   International   Monetary   Arrangement   and   the   Exchange   Rate.International Journal of Finance &amp; Economics, Vol 6 (4) PP 389 – 400.[online]. Available from: http:// Proquest. Umi.com/pg dweb.</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Nielsen, Karol. 1999. Grace Settles With SEC On Earnings Manipulation. Chemical Week(July 7-July 14): vol. 161, no. 26, 16.</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lastRenderedPageBreak/>
            <w:t>Schiffman, L.G. &amp; Kanauk, L.E (2007). Consumer Behavior, New Jersey, Prentice Hall Co.Quotah , M. and El aasi, S. (2008) How to write a Report. Jeddah, Jarir Co.</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Schroeder, Michael. 2001. SEC Fines Arthur Andersen in Fraud Case –Big 5 Firm to Pay $7 Million After Inquiry of Audits For Waste Management. Wall Street Journal(June 20): A3.</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Schroeder, Michael. 2001. SEC List of Accounting-Fraud Probes Grows. Wall Street Journal(July 6): C1.</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Sherman, H. David, and S. David Young. 2001. Tread Lightly Through These Accounting Minefields. Harvard Business Review(July-August): vol. 79, no. 7,129(7).</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Stanko, Brian B. 2001. Improving Financial Reporting and Disclosure. Business and Economic Review(Ju-ly-September): vol. 47, no. 4, 21(5).</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Weil, Jonathan. 2001. Deals &amp; Deal Makers: Restatements of Earnings Have Multiplied. Wall Street Jour-nal(June 7): C15.</w:t>
          </w:r>
        </w:p>
        <w:p w:rsidR="00F15A8B" w:rsidRPr="004F64A2" w:rsidRDefault="00F15A8B" w:rsidP="004F64A2">
          <w:pPr>
            <w:spacing w:line="480" w:lineRule="auto"/>
            <w:ind w:left="720" w:hanging="720"/>
            <w:jc w:val="both"/>
            <w:rPr>
              <w:rFonts w:ascii="Times New Roman" w:hAnsi="Times New Roman" w:cs="Times New Roman"/>
              <w:sz w:val="24"/>
              <w:szCs w:val="24"/>
            </w:rPr>
          </w:pPr>
          <w:r w:rsidRPr="004F64A2">
            <w:rPr>
              <w:rFonts w:ascii="Times New Roman" w:hAnsi="Times New Roman" w:cs="Times New Roman"/>
              <w:sz w:val="24"/>
              <w:szCs w:val="24"/>
            </w:rPr>
            <w:t xml:space="preserve">Weil, Jonathan. 2001. SEC Chief Calls Andersen Case “Smoking Gun.” Wall  Street  Journal(June  26): C18.  </w:t>
          </w:r>
        </w:p>
      </w:sdtContent>
    </w:sdt>
    <w:p w:rsidR="00F15A8B" w:rsidRDefault="00F15A8B" w:rsidP="00111EAA">
      <w:pPr>
        <w:spacing w:line="480" w:lineRule="auto"/>
        <w:jc w:val="both"/>
        <w:rPr>
          <w:rFonts w:ascii="Times New Roman" w:hAnsi="Times New Roman" w:cs="Times New Roman"/>
          <w:sz w:val="24"/>
          <w:szCs w:val="24"/>
          <w:lang w:val="en-IN"/>
        </w:rPr>
      </w:pPr>
    </w:p>
    <w:p w:rsidR="001872CB" w:rsidRPr="001872CB" w:rsidRDefault="001872CB" w:rsidP="00F15A8B">
      <w:pPr>
        <w:rPr>
          <w:rFonts w:ascii="Times New Roman" w:hAnsi="Times New Roman" w:cs="Times New Roman"/>
          <w:sz w:val="24"/>
          <w:szCs w:val="24"/>
          <w:lang w:val="en-IN"/>
        </w:rPr>
      </w:pPr>
    </w:p>
    <w:sectPr w:rsidR="001872CB" w:rsidRPr="001872CB" w:rsidSect="00D3472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9A7" w:rsidRDefault="003319A7" w:rsidP="00D34723">
      <w:pPr>
        <w:spacing w:after="0" w:line="240" w:lineRule="auto"/>
      </w:pPr>
      <w:r>
        <w:separator/>
      </w:r>
    </w:p>
  </w:endnote>
  <w:endnote w:type="continuationSeparator" w:id="1">
    <w:p w:rsidR="003319A7" w:rsidRDefault="003319A7" w:rsidP="00D347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9A7" w:rsidRDefault="003319A7" w:rsidP="00D34723">
      <w:pPr>
        <w:spacing w:after="0" w:line="240" w:lineRule="auto"/>
      </w:pPr>
      <w:r>
        <w:separator/>
      </w:r>
    </w:p>
  </w:footnote>
  <w:footnote w:type="continuationSeparator" w:id="1">
    <w:p w:rsidR="003319A7" w:rsidRDefault="003319A7" w:rsidP="00D347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23" w:rsidRPr="00D34723" w:rsidRDefault="00D34723">
    <w:pPr>
      <w:pStyle w:val="Header"/>
      <w:jc w:val="right"/>
      <w:rPr>
        <w:rFonts w:ascii="Times New Roman" w:hAnsi="Times New Roman" w:cs="Times New Roman"/>
        <w:sz w:val="24"/>
        <w:szCs w:val="24"/>
      </w:rPr>
    </w:pPr>
    <w:r w:rsidRPr="00D34723">
      <w:rPr>
        <w:rFonts w:ascii="Times New Roman" w:hAnsi="Times New Roman" w:cs="Times New Roman"/>
        <w:sz w:val="24"/>
        <w:szCs w:val="24"/>
      </w:rPr>
      <w:t>EARNIN</w:t>
    </w:r>
    <w:r>
      <w:rPr>
        <w:rFonts w:ascii="Times New Roman" w:hAnsi="Times New Roman" w:cs="Times New Roman"/>
        <w:sz w:val="24"/>
        <w:szCs w:val="24"/>
      </w:rPr>
      <w:t>G</w:t>
    </w:r>
    <w:r w:rsidRPr="00D34723">
      <w:rPr>
        <w:rFonts w:ascii="Times New Roman" w:hAnsi="Times New Roman" w:cs="Times New Roman"/>
        <w:sz w:val="24"/>
        <w:szCs w:val="24"/>
      </w:rPr>
      <w:t>S MANAGEMENT</w:t>
    </w:r>
    <w:sdt>
      <w:sdtPr>
        <w:rPr>
          <w:rFonts w:ascii="Times New Roman" w:hAnsi="Times New Roman" w:cs="Times New Roman"/>
          <w:sz w:val="24"/>
          <w:szCs w:val="24"/>
        </w:rPr>
        <w:id w:val="23820262"/>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DD1BAD" w:rsidRPr="00D34723">
          <w:rPr>
            <w:rFonts w:ascii="Times New Roman" w:hAnsi="Times New Roman" w:cs="Times New Roman"/>
            <w:sz w:val="24"/>
            <w:szCs w:val="24"/>
          </w:rPr>
          <w:fldChar w:fldCharType="begin"/>
        </w:r>
        <w:r w:rsidRPr="00D34723">
          <w:rPr>
            <w:rFonts w:ascii="Times New Roman" w:hAnsi="Times New Roman" w:cs="Times New Roman"/>
            <w:sz w:val="24"/>
            <w:szCs w:val="24"/>
          </w:rPr>
          <w:instrText xml:space="preserve"> PAGE   \* MERGEFORMAT </w:instrText>
        </w:r>
        <w:r w:rsidR="00DD1BAD" w:rsidRPr="00D34723">
          <w:rPr>
            <w:rFonts w:ascii="Times New Roman" w:hAnsi="Times New Roman" w:cs="Times New Roman"/>
            <w:sz w:val="24"/>
            <w:szCs w:val="24"/>
          </w:rPr>
          <w:fldChar w:fldCharType="separate"/>
        </w:r>
        <w:r w:rsidR="000A5F2A">
          <w:rPr>
            <w:rFonts w:ascii="Times New Roman" w:hAnsi="Times New Roman" w:cs="Times New Roman"/>
            <w:noProof/>
            <w:sz w:val="24"/>
            <w:szCs w:val="24"/>
          </w:rPr>
          <w:t>14</w:t>
        </w:r>
        <w:r w:rsidR="00DD1BAD" w:rsidRPr="00D34723">
          <w:rPr>
            <w:rFonts w:ascii="Times New Roman" w:hAnsi="Times New Roman" w:cs="Times New Roman"/>
            <w:sz w:val="24"/>
            <w:szCs w:val="24"/>
          </w:rPr>
          <w:fldChar w:fldCharType="end"/>
        </w:r>
      </w:sdtContent>
    </w:sdt>
  </w:p>
  <w:p w:rsidR="00D34723" w:rsidRDefault="00D347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723" w:rsidRPr="00D34723" w:rsidRDefault="00D34723">
    <w:pPr>
      <w:pStyle w:val="Header"/>
      <w:jc w:val="right"/>
      <w:rPr>
        <w:rFonts w:ascii="Times New Roman" w:hAnsi="Times New Roman" w:cs="Times New Roman"/>
        <w:sz w:val="24"/>
        <w:szCs w:val="24"/>
      </w:rPr>
    </w:pPr>
    <w:r w:rsidRPr="00D34723">
      <w:rPr>
        <w:rFonts w:ascii="Times New Roman" w:hAnsi="Times New Roman" w:cs="Times New Roman"/>
        <w:sz w:val="24"/>
        <w:szCs w:val="24"/>
      </w:rPr>
      <w:t>Running Head: EARNINGS MANAGEMENT</w:t>
    </w:r>
    <w:sdt>
      <w:sdtPr>
        <w:rPr>
          <w:rFonts w:ascii="Times New Roman" w:hAnsi="Times New Roman" w:cs="Times New Roman"/>
          <w:sz w:val="24"/>
          <w:szCs w:val="24"/>
        </w:rPr>
        <w:id w:val="23820219"/>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DD1BAD" w:rsidRPr="00D34723">
          <w:rPr>
            <w:rFonts w:ascii="Times New Roman" w:hAnsi="Times New Roman" w:cs="Times New Roman"/>
            <w:sz w:val="24"/>
            <w:szCs w:val="24"/>
          </w:rPr>
          <w:fldChar w:fldCharType="begin"/>
        </w:r>
        <w:r w:rsidRPr="00D34723">
          <w:rPr>
            <w:rFonts w:ascii="Times New Roman" w:hAnsi="Times New Roman" w:cs="Times New Roman"/>
            <w:sz w:val="24"/>
            <w:szCs w:val="24"/>
          </w:rPr>
          <w:instrText xml:space="preserve"> PAGE   \* MERGEFORMAT </w:instrText>
        </w:r>
        <w:r w:rsidR="00DD1BAD" w:rsidRPr="00D34723">
          <w:rPr>
            <w:rFonts w:ascii="Times New Roman" w:hAnsi="Times New Roman" w:cs="Times New Roman"/>
            <w:sz w:val="24"/>
            <w:szCs w:val="24"/>
          </w:rPr>
          <w:fldChar w:fldCharType="separate"/>
        </w:r>
        <w:r w:rsidR="000A5F2A">
          <w:rPr>
            <w:rFonts w:ascii="Times New Roman" w:hAnsi="Times New Roman" w:cs="Times New Roman"/>
            <w:noProof/>
            <w:sz w:val="24"/>
            <w:szCs w:val="24"/>
          </w:rPr>
          <w:t>1</w:t>
        </w:r>
        <w:r w:rsidR="00DD1BAD" w:rsidRPr="00D34723">
          <w:rPr>
            <w:rFonts w:ascii="Times New Roman" w:hAnsi="Times New Roman" w:cs="Times New Roman"/>
            <w:sz w:val="24"/>
            <w:szCs w:val="24"/>
          </w:rPr>
          <w:fldChar w:fldCharType="end"/>
        </w:r>
      </w:sdtContent>
    </w:sdt>
  </w:p>
  <w:p w:rsidR="00D34723" w:rsidRDefault="00D347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4723"/>
    <w:rsid w:val="00016521"/>
    <w:rsid w:val="00083121"/>
    <w:rsid w:val="000A5F2A"/>
    <w:rsid w:val="00111EAA"/>
    <w:rsid w:val="00151786"/>
    <w:rsid w:val="00171571"/>
    <w:rsid w:val="001872CB"/>
    <w:rsid w:val="001C7091"/>
    <w:rsid w:val="002366F1"/>
    <w:rsid w:val="0029795B"/>
    <w:rsid w:val="0031298C"/>
    <w:rsid w:val="003319A7"/>
    <w:rsid w:val="003D2820"/>
    <w:rsid w:val="003F2158"/>
    <w:rsid w:val="00442F61"/>
    <w:rsid w:val="00444B66"/>
    <w:rsid w:val="004F64A2"/>
    <w:rsid w:val="00584660"/>
    <w:rsid w:val="0064155D"/>
    <w:rsid w:val="006934C2"/>
    <w:rsid w:val="006F02A0"/>
    <w:rsid w:val="007774B6"/>
    <w:rsid w:val="007E7B00"/>
    <w:rsid w:val="00857B7E"/>
    <w:rsid w:val="008E2AAC"/>
    <w:rsid w:val="009023C5"/>
    <w:rsid w:val="00907AEF"/>
    <w:rsid w:val="00B43577"/>
    <w:rsid w:val="00B51B89"/>
    <w:rsid w:val="00BB26DB"/>
    <w:rsid w:val="00BE5A40"/>
    <w:rsid w:val="00CA535E"/>
    <w:rsid w:val="00CC1944"/>
    <w:rsid w:val="00D006FC"/>
    <w:rsid w:val="00D332AD"/>
    <w:rsid w:val="00D34723"/>
    <w:rsid w:val="00DD1BAD"/>
    <w:rsid w:val="00E500FF"/>
    <w:rsid w:val="00ED3F05"/>
    <w:rsid w:val="00F15A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66"/>
  </w:style>
  <w:style w:type="paragraph" w:styleId="Heading1">
    <w:name w:val="heading 1"/>
    <w:basedOn w:val="Normal"/>
    <w:next w:val="Normal"/>
    <w:link w:val="Heading1Char"/>
    <w:uiPriority w:val="9"/>
    <w:qFormat/>
    <w:rsid w:val="00F15A8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723"/>
  </w:style>
  <w:style w:type="paragraph" w:styleId="Footer">
    <w:name w:val="footer"/>
    <w:basedOn w:val="Normal"/>
    <w:link w:val="FooterChar"/>
    <w:uiPriority w:val="99"/>
    <w:semiHidden/>
    <w:unhideWhenUsed/>
    <w:rsid w:val="00D347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4723"/>
  </w:style>
  <w:style w:type="paragraph" w:styleId="BalloonText">
    <w:name w:val="Balloon Text"/>
    <w:basedOn w:val="Normal"/>
    <w:link w:val="BalloonTextChar"/>
    <w:uiPriority w:val="99"/>
    <w:semiHidden/>
    <w:unhideWhenUsed/>
    <w:rsid w:val="00D34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723"/>
    <w:rPr>
      <w:rFonts w:ascii="Tahoma" w:hAnsi="Tahoma" w:cs="Tahoma"/>
      <w:sz w:val="16"/>
      <w:szCs w:val="16"/>
    </w:rPr>
  </w:style>
  <w:style w:type="character" w:customStyle="1" w:styleId="Heading1Char">
    <w:name w:val="Heading 1 Char"/>
    <w:basedOn w:val="DefaultParagraphFont"/>
    <w:link w:val="Heading1"/>
    <w:uiPriority w:val="9"/>
    <w:rsid w:val="00F15A8B"/>
    <w:rPr>
      <w:rFonts w:asciiTheme="majorHAnsi" w:eastAsiaTheme="majorEastAsia" w:hAnsiTheme="majorHAnsi" w:cstheme="majorBidi"/>
      <w:b/>
      <w:bCs/>
      <w:color w:val="365F91" w:themeColor="accent1" w:themeShade="BF"/>
      <w:sz w:val="28"/>
      <w:szCs w:val="28"/>
      <w:lang w:bidi="en-US"/>
    </w:rPr>
  </w:style>
</w:styles>
</file>

<file path=word/webSettings.xml><?xml version="1.0" encoding="utf-8"?>
<w:webSettings xmlns:r="http://schemas.openxmlformats.org/officeDocument/2006/relationships" xmlns:w="http://schemas.openxmlformats.org/wordprocessingml/2006/main">
  <w:divs>
    <w:div w:id="505941739">
      <w:bodyDiv w:val="1"/>
      <w:marLeft w:val="0"/>
      <w:marRight w:val="0"/>
      <w:marTop w:val="0"/>
      <w:marBottom w:val="0"/>
      <w:divBdr>
        <w:top w:val="none" w:sz="0" w:space="0" w:color="auto"/>
        <w:left w:val="none" w:sz="0" w:space="0" w:color="auto"/>
        <w:bottom w:val="none" w:sz="0" w:space="0" w:color="auto"/>
        <w:right w:val="none" w:sz="0" w:space="0" w:color="auto"/>
      </w:divBdr>
    </w:div>
    <w:div w:id="1080980237">
      <w:bodyDiv w:val="1"/>
      <w:marLeft w:val="0"/>
      <w:marRight w:val="0"/>
      <w:marTop w:val="0"/>
      <w:marBottom w:val="0"/>
      <w:divBdr>
        <w:top w:val="none" w:sz="0" w:space="0" w:color="auto"/>
        <w:left w:val="none" w:sz="0" w:space="0" w:color="auto"/>
        <w:bottom w:val="none" w:sz="0" w:space="0" w:color="auto"/>
        <w:right w:val="none" w:sz="0" w:space="0" w:color="auto"/>
      </w:divBdr>
    </w:div>
    <w:div w:id="170061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B152F-BBA5-4CCB-BAAA-BB635ED3C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3608</Words>
  <Characters>20568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Exploring</cp:lastModifiedBy>
  <cp:revision>2</cp:revision>
  <dcterms:created xsi:type="dcterms:W3CDTF">2020-07-17T17:20:00Z</dcterms:created>
  <dcterms:modified xsi:type="dcterms:W3CDTF">2020-07-17T17:20:00Z</dcterms:modified>
</cp:coreProperties>
</file>